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2026</w:t>
      </w:r>
    </w:p>
    <w:p>
      <w:pPr>
        <w:spacing w:after="0" w:line="2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Lifetime Brands, Inc.</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7"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0-19254</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w w:val="98"/>
              </w:rPr>
              <w:t>11-2682486</w:t>
            </w:r>
          </w:p>
        </w:tc>
      </w:tr>
      <w:tr>
        <w:trPr>
          <w:trHeight w:val="149"/>
        </w:trPr>
        <w:tc>
          <w:tcPr>
            <w:tcW w:w="214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2140" w:type="dxa"/>
            <w:vAlign w:val="bottom"/>
          </w:tcPr>
          <w:p>
            <w:pPr>
              <w:spacing w:after="0"/>
              <w:rPr>
                <w:sz w:val="24"/>
                <w:szCs w:val="24"/>
                <w:color w:val="auto"/>
              </w:rPr>
            </w:pPr>
          </w:p>
        </w:tc>
        <w:tc>
          <w:tcPr>
            <w:tcW w:w="50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1000 Stewart Avenue, Garden City, New York 11530</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6"/>
                <w:szCs w:val="16"/>
                <w:color w:val="auto"/>
              </w:rPr>
            </w:pPr>
          </w:p>
        </w:tc>
      </w:tr>
      <w:tr>
        <w:trPr>
          <w:trHeight w:val="309"/>
        </w:trPr>
        <w:tc>
          <w:tcPr>
            <w:tcW w:w="2140" w:type="dxa"/>
            <w:vAlign w:val="bottom"/>
          </w:tcPr>
          <w:p>
            <w:pPr>
              <w:spacing w:after="0"/>
              <w:rPr>
                <w:sz w:val="24"/>
                <w:szCs w:val="24"/>
                <w:color w:val="auto"/>
              </w:rPr>
            </w:pPr>
          </w:p>
        </w:tc>
        <w:tc>
          <w:tcPr>
            <w:tcW w:w="5060" w:type="dxa"/>
            <w:vAlign w:val="bottom"/>
          </w:tcPr>
          <w:p>
            <w:pPr>
              <w:jc w:val="right"/>
              <w:ind w:right="1999"/>
              <w:spacing w:after="0"/>
              <w:rPr>
                <w:sz w:val="20"/>
                <w:szCs w:val="20"/>
                <w:color w:val="auto"/>
              </w:rPr>
            </w:pPr>
            <w:r>
              <w:rPr>
                <w:rFonts w:ascii="Times New Roman" w:cs="Times New Roman" w:eastAsia="Times New Roman" w:hAnsi="Times New Roman"/>
                <w:sz w:val="18"/>
                <w:szCs w:val="18"/>
                <w:b w:val="1"/>
                <w:bCs w:val="1"/>
                <w:color w:val="auto"/>
              </w:rPr>
              <w:t>516-683-6000</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09"/>
        </w:trPr>
        <w:tc>
          <w:tcPr>
            <w:tcW w:w="2140" w:type="dxa"/>
            <w:vAlign w:val="bottom"/>
          </w:tcPr>
          <w:p>
            <w:pPr>
              <w:spacing w:after="0"/>
              <w:rPr>
                <w:sz w:val="24"/>
                <w:szCs w:val="24"/>
                <w:color w:val="auto"/>
              </w:rPr>
            </w:pPr>
          </w:p>
        </w:tc>
        <w:tc>
          <w:tcPr>
            <w:tcW w:w="50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164"/>
        </w:trPr>
        <w:tc>
          <w:tcPr>
            <w:tcW w:w="2140" w:type="dxa"/>
            <w:vAlign w:val="bottom"/>
          </w:tcPr>
          <w:p>
            <w:pPr>
              <w:spacing w:after="0"/>
              <w:rPr>
                <w:sz w:val="14"/>
                <w:szCs w:val="14"/>
                <w:color w:val="auto"/>
              </w:rPr>
            </w:pPr>
          </w:p>
        </w:tc>
        <w:tc>
          <w:tcPr>
            <w:tcW w:w="50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4"/>
                <w:szCs w:val="14"/>
                <w:color w:val="auto"/>
              </w:rPr>
            </w:pPr>
          </w:p>
        </w:tc>
      </w:tr>
      <w:tr>
        <w:trPr>
          <w:trHeight w:val="238"/>
        </w:trPr>
        <w:tc>
          <w:tcPr>
            <w:tcW w:w="2140" w:type="dxa"/>
            <w:vAlign w:val="bottom"/>
          </w:tcPr>
          <w:p>
            <w:pPr>
              <w:spacing w:after="0"/>
              <w:rPr>
                <w:sz w:val="20"/>
                <w:szCs w:val="20"/>
                <w:color w:val="auto"/>
              </w:rPr>
            </w:pPr>
          </w:p>
        </w:tc>
        <w:tc>
          <w:tcPr>
            <w:tcW w:w="506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tc>
        <w:tc>
          <w:tcPr>
            <w:tcW w:w="1700" w:type="dxa"/>
            <w:vAlign w:val="bottom"/>
          </w:tcPr>
          <w:p>
            <w:pPr>
              <w:spacing w:after="0"/>
              <w:rPr>
                <w:sz w:val="20"/>
                <w:szCs w:val="20"/>
                <w:color w:val="auto"/>
              </w:rPr>
            </w:pPr>
          </w:p>
        </w:tc>
      </w:tr>
    </w:tbl>
    <w:p>
      <w:pPr>
        <w:spacing w:after="0" w:line="90" w:lineRule="exact"/>
        <w:rPr>
          <w:sz w:val="24"/>
          <w:szCs w:val="24"/>
          <w:color w:val="auto"/>
        </w:rPr>
      </w:pPr>
    </w:p>
    <w:p>
      <w:pPr>
        <w:ind w:right="2600"/>
        <w:spacing w:after="0" w:line="32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3" w:lineRule="exact"/>
        <w:rPr>
          <w:sz w:val="24"/>
          <w:szCs w:val="24"/>
          <w:color w:val="auto"/>
        </w:rPr>
      </w:pPr>
    </w:p>
    <w:p>
      <w:pPr>
        <w:ind w:left="360" w:hanging="271"/>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271"/>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271"/>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271"/>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LCUT</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8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25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ind w:right="100"/>
        <w:spacing w:after="0" w:line="296" w:lineRule="auto"/>
        <w:rPr>
          <w:sz w:val="20"/>
          <w:szCs w:val="20"/>
          <w:color w:val="auto"/>
        </w:rPr>
      </w:pPr>
      <w:r>
        <w:rPr>
          <w:rFonts w:ascii="Times New Roman" w:cs="Times New Roman" w:eastAsia="Times New Roman" w:hAnsi="Times New Roman"/>
          <w:sz w:val="17"/>
          <w:szCs w:val="17"/>
          <w:color w:val="auto"/>
        </w:rPr>
        <w:t>On March 12, 2026, Lifetime Brands, Inc. (the “Company”) issued a press release announcing the Company’s results for the fourth quarter and year ended December 31, 2025. A copy of the Company’s press release is furnished as Exhibit 99.1 to this report and is incorporated by reference into this Item 2.02.</w:t>
      </w:r>
    </w:p>
    <w:p>
      <w:pPr>
        <w:spacing w:after="0" w:line="15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880" w:hanging="38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5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580" w:type="dxa"/>
            <w:vAlign w:val="bottom"/>
          </w:tcPr>
          <w:p>
            <w:pPr>
              <w:spacing w:after="0"/>
              <w:rPr>
                <w:sz w:val="24"/>
                <w:szCs w:val="24"/>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99.1</w:t>
            </w:r>
          </w:p>
        </w:tc>
        <w:tc>
          <w:tcPr>
            <w:tcW w:w="2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March 12, 2026</w:t>
            </w: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document)</w:t>
            </w: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5"/>
        </w:trPr>
        <w:tc>
          <w:tcPr>
            <w:tcW w:w="1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Lifetime Brands, Inc.</w:t>
      </w:r>
    </w:p>
    <w:p>
      <w:pPr>
        <w:spacing w:after="0" w:line="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70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Laurence Winoker</w:t>
      </w:r>
    </w:p>
    <w:p>
      <w:pPr>
        <w:ind w:left="6960"/>
        <w:spacing w:after="0" w:line="219" w:lineRule="auto"/>
        <w:rPr>
          <w:sz w:val="20"/>
          <w:szCs w:val="20"/>
          <w:color w:val="auto"/>
        </w:rPr>
      </w:pPr>
      <w:r>
        <w:rPr>
          <w:rFonts w:ascii="Times New Roman" w:cs="Times New Roman" w:eastAsia="Times New Roman" w:hAnsi="Times New Roman"/>
          <w:sz w:val="18"/>
          <w:szCs w:val="18"/>
          <w:color w:val="auto"/>
        </w:rPr>
        <w:t>Executive Vice President, Treasurer and</w:t>
      </w:r>
    </w:p>
    <w:p>
      <w:pPr>
        <w:ind w:left="6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62318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231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 Reports Fourth Quarter 2025 Financial Results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Declares Regular Quarterly Dividend</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GARDEN CITY, NY, March 12, 2026 – Lifetime Brands, Inc. (NasdaqGS: LCUT), a leading global designer, developer and marketer of a broad range of branded consumer products used in the home, today reported its financial results for the quarter and full year ended December 31, 2025.</w:t>
      </w:r>
    </w:p>
    <w:p>
      <w:pPr>
        <w:spacing w:after="0" w:line="27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Rob Kay, Lifetime’s Chief Executive Officer, commented, “Our fourth quarter results reflect the culmination of several strategic decisions made earlier in the year, decisions that were not without short-term cost, but right for the business. We moved first on pricing to offset tariff headwinds, partnered closely with our customers to navigate a period of real disruption, and we took decisive action to reduce our cost structure. The results validated that approach: with operating profit for the quarter exceeding 2024 despite a more challenging top-line environment, strong full year adjusted EBITDA of $50.8 million, and a leaner organization that is better positioned than a year ago. The Dolly brand continues to exhibit strong sales growth with a 150% increase for the year, a positive reflection of where our strategy is gaining traction. Recovering sustainable growth remains the priority in 2026, and we enter the year with momentum, a proven playbook, and the confidence in our ability to deliver long-term value for our shareholders.”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Quarter Financial Results: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Consolidated net sales for the three months ended December 31, 2025, were $204.1 million, representing a decrease of $11.1 million or 5.2%, as compared to $215.2 million for the corresponding period in 2024. In constant currency, a non-GAAP financial measure, which excludes the impact of foreign exchange fluctuations and was determined by applying 2025 average rates to 2024 local currency amounts, consolidated net sales decreased $12.0 million or 5.6% in the fourth quarter of 2025, as compared to consolidated net sales in the corresponding period in 2024. A table reconciling this non-GAAP financial measure to consolidated net sales, as reported, is included below.</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Gross margin for the three months ended December 31, 2025 was $78.8 million, or 38.6%, as compared to $81.2 million, or 37.7%, for the corresponding period in 2024.</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December 31, 2025 were $38.0 million, a decrease of $5.2 million, or 12.0%, as compared to $43.2 million for the corresponding period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was $20.0 million, as compared to $15.5 million for the corresponding period in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income from operations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$26.4 million as compared to $20.2 million for the corresponding period in 2024.</w:t>
      </w:r>
    </w:p>
    <w:p>
      <w:pPr>
        <w:spacing w:after="0" w:line="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income was $18.2 million, or $0.83 per diluted share, for the quarter ended December 31, 2025, as compared to net income of $8.9 million, or $0.41 per diluted share, for the corresponding period in 2024.</w:t>
      </w:r>
    </w:p>
    <w:p>
      <w:pPr>
        <w:spacing w:after="0" w:line="50"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$23.0 million, or $1.05 per diluted share, for the quarter ended December 31, 2025, as compared to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$12.0 million, or $0.55 per diluted share, for the corresponding period in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 table reconciling this non-GAAP financial measure to its most comparable GAAP financial measure, as reported, is included below.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Financial Results: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Consolidated net sales for the year ended December 31, 2025, were $647.9 million, a decrease of $35.1 million, or 5.1%, as compared to consolidated net sales of $683.0 million for the corresponding period in 2024. In constant currency, a non-GAAP financial measure, which excludes the impact of foreign exchange fluctuations and was determined by applying 2025 average rates to 2024 local currency amounts, consolidated net sales decreased $36.9 million, or 5.4%, as compared to consolidated net sales in the corresponding period in 2024. A table reconciling this non-GAAP financial measure to consolidated net sales, as reported, is included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Gross margin for 2025 was $240.7 million, or 37.1%, compared to $260.7 million, or 38.2%, for the corresponding period in 2024.</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2025 were $142.4 million, a decrease of $17.4 million, or 10.9%, as compared to $159.8 million for the corresponding period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was $(9.4) million in 2025, as compared to income from operations of $27.1 million for the corresponding period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income from operations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$37.9 million, as compared to $44.7 million for the corresponding period in 2024.</w:t>
      </w:r>
    </w:p>
    <w:p>
      <w:pPr>
        <w:spacing w:after="0" w:line="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loss was $(26.9) million, or $(1.24) per diluted share, for the year ended December 31, 2025, as compared to net loss of $(15.2) million, or $(0.71) per diluted share, in the corresponding period in 2024.</w:t>
      </w:r>
    </w:p>
    <w:p>
      <w:pPr>
        <w:spacing w:after="0" w:line="5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$17.6 million, or $0.81 per diluted share, as compared to $12.6 million, or $0.58 per diluted share, for the corresponding period in 2024.</w:t>
      </w:r>
    </w:p>
    <w:p>
      <w:pPr>
        <w:spacing w:after="0" w:line="88" w:lineRule="exact"/>
        <w:rPr>
          <w:sz w:val="20"/>
          <w:szCs w:val="20"/>
          <w:color w:val="auto"/>
        </w:rPr>
      </w:pPr>
    </w:p>
    <w:p>
      <w:pPr>
        <w:ind w:right="580"/>
        <w:spacing w:after="0" w:line="230"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$50.8 million for the year ended December 31, 2025. A table reconciling this non-GAAP financial measure to net loss, as reported, is included below.</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 table reconciling this non-GAAP financial measure to its most comparable GAAP financial measure, as reported, is included below.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9, 2026, the Board of Directors declared a quarterly dividend of $0.0425 per share payable on May 15, 2026 to shareholders of record on May 1,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2026 Guidance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intends to provide detailed Full Year 2026 guidance in conjunction with its First Quarter 2026 results in mid-May, in-line with its historical cadence.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scheduled a conference call for Thursday, March 12, 2026 at 11:00 a.m. (Eastern Time). The dial-in number for the conference call is 1 (844) 826-3035 (U.S.) or +1 (412) 317-5195 (International).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webcast of the conference call will be accessible through: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https://viavid.webcasts.com/starthere.jsp?ei=1751000&amp;tp_key=acd8d43e62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who cannot listen to the live broadcast, an audio replay of the webcast will be available on the Company's investor relations website for one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earnings release contains non-GAAP financial measures, including constant currency net sales, adjusted income from operations, adjusted net income, adjusted diluted income per common share, adjusted EBITDA. A non-GAAP financial measure is a numerical measure of a company’s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statements of income, balance sheets, or statements of cash flows of a company; or, includes amounts, or is subject to adjustments that have the effect of including amounts, that are excluded from the most directly comparable measure so calculated and presented. These non-GAAP financial measures are provided because the Company’s management uses these financial measures in evaluating the Company’s on-going financial results and trends, and management believes that exclusion of certain items allows for more accurate period-to-period comparison of the Company’s operating performance by investors and analysts. Management uses these non-GAAP financial measures as indicators of business performance. These non-GAAP financial measures should be viewed as a supplement to, and not a substitute for, GAAP financial measures of performance. As required by SEC rules, the Company has provided reconciliations of the non-GAAP financial measures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99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In this press release, the use of the words “advance,” “believe,” “continue,” “could,” “deliver,” “drive,” “enable,” “expect,” “gain,” “goal,” “grow,” “intend,” “maintain,” “manage,” “may,” “outlook,” “plan,” “positioned,” “project,” “projected,” “should,” “take,” “target,” “unlock,” “will,” “would”, or similar expressions is intended to identify forward-looking statements. Such statements include all statements regarding the growth of the Company, the Company’s financial guidance, the Company’s ability to navigate the current environment and advance the Company’s strategy, the Company’s commitment to increasing investments in future growth initiatives, the Company’s initiatives to create value, the Company’s efforts to mitigate geopolitical factors and tariffs, the Company’s current and projected financial and operating performance, results, and profitability and all guidance related thereto, including forecasted exchange rates and effective tax rates, as well as the Company’s continued growth and success, future plans and intentions regarding the Company and its consolidated subsidiaries. Such statements represent the Company’s current judgments, estimates, and assumptions. The Company believes these judgments, estimates, and assumptions are reasonable, but these statements are not guarantees of any events or financial or operational results, and actual results may differ materially due to a variety of important factors. Such factors might include, among others, the Company’s ability to comply with the requirements of its credit agreements; the availability of funding under such credit agreements; the Company’s ability to maintain adequate liquidity and financing sources and an appropriate level of debt, as well as to deleverage its balance sheet; seasonality of the Company's cash flows; the possibility of impairments to the Company’s goodwill; the possibility of impairments to the Company’s intangible assets; the highly seasonal nature of the Company’s business; the Company’s ability to drive future growth and profitability from its European operations; changes in U.S. or foreign trade or tax law and policy; changes in general economic conditions that could impact the Company’s customers and affect customer purchasing practices or consumer spending; customer ordering behavior; the performance of the Company’s newer products; expenses and other challenges relating to the integration of any future acquisitions; changes in demand for the Company’s products; changes in the Company’s management team; the significant influence of the Company’s largest stockholder; fluctuations in foreign exchange rates; changes in U.S. trade policy or the trade policies of nations in which the Company or the Company’s suppliers do business; shortages of and price volatility for certain commodities; global health epidemic; social unrest, including related protests and disturbances; the emergence, continuation and consequences of geopolitical conditions, including political instability in the U.S. and abroad, unrest and sanctions, war, conflict, including the ongoing conflicts between Russia and the Ukraine, conflicts in the Middle East, and increasing tensions between China and Taiwan; legislative and regulatory risks, including those relating to the recent enactment of the One Big Beautiful Bill Act; macro-economic challenges, including labor disputes, depreciation of the U.S. dollar, volatility in the capital markets, inflationary impacts and disruptions to the global supply chain; dependence on third-party manufacturers; increase in supply chain costs, including raw materials, sourcing, transportation and energy; the imposition of duties and tariffs and other trade barriers and retaliatory countermeasures and/or economic sanctions implemented by the U.S. and other governments; impact of tariffs and trade policies, particularly with respect to China; the Company’s ability to successfully integrate acquired businesses; the Company’s expectations regarding customer purchasing practices and the future level of demand for the Company’s products; the Company’s ability to execute on the goals and strategies set forth in the Company’s Project Concord plan; and significant changes in the competitive environment and the effect of competition on the Company’s markets, including on the Company’s pricing policies, financing sources and ability to maintain an appropriate level of debt. The Company undertakes no obligation to update these forward-looking statements other than as required by law.</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Lifetime Brands, Inc.</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Lifetime Brands is a leading global designer, developer and marketer of a broad range of branded consumer products used in the home. The Company markets its products under well-known kitchenware brands, including Farberware®, KitchenAid®, Sabatier®, Amco Houseworks®,</w:t>
      </w:r>
    </w:p>
    <w:p>
      <w:pPr>
        <w:ind w:right="300"/>
        <w:spacing w:after="0" w:line="253" w:lineRule="auto"/>
        <w:rPr>
          <w:sz w:val="20"/>
          <w:szCs w:val="20"/>
          <w:color w:val="auto"/>
        </w:rPr>
      </w:pPr>
      <w:r>
        <w:rPr>
          <w:rFonts w:ascii="Times New Roman" w:cs="Times New Roman" w:eastAsia="Times New Roman" w:hAnsi="Times New Roman"/>
          <w:sz w:val="18"/>
          <w:szCs w:val="18"/>
          <w:color w:val="auto"/>
        </w:rPr>
        <w:t>Chef’n® Chicago™ Metallic, Copco®, Fred® &amp; Friends, Houdini™, KitchenCraft®, Kamenstein®, La Cafetière®, MasterClass®, Misto®, Swing-A-Way®, Taylor® Kitchen, Rabbit®, and Dolly®; respected tableware and giftware brands, including Mikasa®, Pfaltzgraff®, Fitz and Floyd®, Empire Silver™, Gorham®, International® Silver, Towle® Silversmiths, Wallace®, Wilton Armetale®, V&amp;A®, Royal Botanic Gardens Kew®, Year &amp; Day®, Dolly®, Royal Leerdam®, and ONIS®; and valued home solutions brands, including BUILT NY®, S’well®, Taylor® Bath, Taylor® Kitchen, Taylor® Weather, Planet Box®, and Dolly®. The Company also provides exclusive private label products to leading retailers worldwide.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corporate website is www.lifetimebrands.com.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Laurence Winoker,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516-203-3590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investor.relations@lifetimebrands.com</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MZ North America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Devine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203-741-8811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LCUT@mzgroup.us</w:t>
      </w:r>
    </w:p>
    <w:p>
      <w:pPr>
        <w:spacing w:after="0" w:line="200" w:lineRule="exact"/>
        <w:rPr>
          <w:sz w:val="20"/>
          <w:szCs w:val="20"/>
          <w:color w:val="auto"/>
        </w:rPr>
      </w:pPr>
    </w:p>
    <w:p>
      <w:pPr>
        <w:spacing w:after="0" w:line="36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1107"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r>
      <w:tr>
        <w:trPr>
          <w:trHeight w:val="195"/>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682,952</w:t>
            </w:r>
          </w:p>
        </w:tc>
      </w:tr>
      <w:tr>
        <w:trPr>
          <w:trHeight w:val="229"/>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422,249</w:t>
            </w:r>
          </w:p>
        </w:tc>
      </w:tr>
      <w:tr>
        <w:trPr>
          <w:trHeight w:val="22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260,703</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73,810</w:t>
            </w: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159,809</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gain (loss) on interest rate derivatives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and equity in losses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net of taxes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8"/>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outstanding—basic</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21,768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21,562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21,704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21,481</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INCOME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outstanding—diluted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21,704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21,481</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INCOME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60" w:top="88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$11,970 at December 31, 2025 and $14,093 at December 31, 2024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202,408</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183,527</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634,310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maturity of term loan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60,029</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151,743</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$1.00 par value, shares authorized: 100 shares of Series A and 2,000,000 shares of Series B; none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50,000,000 at December 31, 2025 and 2024; shares issued and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22,654,207 at December 31, 2025 and 22,155,735 at December 31, 2024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280,566</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229,923</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634,310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w:t>
            </w: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22,314</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financing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disposition of fixed 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Mark to market loss on interest rate derivatives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Equity in losses, net of taxes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equity securities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(14,557)</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r>
      <w:tr>
        <w:trPr>
          <w:trHeight w:val="213"/>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07"/>
        </w:trPr>
        <w:tc>
          <w:tcPr>
            <w:tcW w:w="86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18,569</w:t>
            </w:r>
          </w:p>
        </w:tc>
      </w:tr>
      <w:tr>
        <w:trPr>
          <w:trHeight w:val="19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proceeds from sale of property</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6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w:t>
            </w:r>
          </w:p>
        </w:tc>
      </w:tr>
      <w:tr>
        <w:trPr>
          <w:trHeight w:val="19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268,209</w:t>
            </w: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(285,264)</w:t>
            </w: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Term Loan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finance lease obligations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tax withholding for stock based compensation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r>
      <w:tr>
        <w:trPr>
          <w:trHeight w:val="207"/>
        </w:trPr>
        <w:tc>
          <w:tcPr>
            <w:tcW w:w="86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(29,490)</w:t>
            </w: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on cash</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(13,260)</w:t>
            </w: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r>
      <w:tr>
        <w:trPr>
          <w:trHeight w:val="23"/>
        </w:trPr>
        <w:tc>
          <w:tcPr>
            <w:tcW w:w="8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for the year ended December 31,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482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80"/>
        </w:trPr>
        <w:tc>
          <w:tcPr>
            <w:tcW w:w="4820" w:type="dxa"/>
            <w:vAlign w:val="bottom"/>
          </w:tcPr>
          <w:p>
            <w:pPr>
              <w:spacing w:after="0"/>
              <w:rPr>
                <w:sz w:val="24"/>
                <w:szCs w:val="24"/>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as reported</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(26,937)</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20,030</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21,848</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disposition of fixed assets</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Mark to market loss (gain) on interest rate derivatives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33,237</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r>
      <w:tr>
        <w:trPr>
          <w:trHeight w:val="219"/>
        </w:trPr>
        <w:tc>
          <w:tcPr>
            <w:tcW w:w="4820" w:type="dxa"/>
            <w:vAlign w:val="bottom"/>
            <w:shd w:val="clear" w:color="auto" w:fill="CCEEFF"/>
          </w:tcPr>
          <w:p>
            <w:pPr>
              <w:ind w:left="680"/>
              <w:spacing w:after="0" w:line="219" w:lineRule="exact"/>
              <w:rPr>
                <w:sz w:val="20"/>
                <w:szCs w:val="20"/>
                <w:color w:val="auto"/>
              </w:rPr>
            </w:pPr>
            <w:r>
              <w:rPr>
                <w:rFonts w:ascii="Times New Roman" w:cs="Times New Roman" w:eastAsia="Times New Roman" w:hAnsi="Times New Roman"/>
                <w:sz w:val="16"/>
                <w:szCs w:val="16"/>
                <w:color w:val="auto"/>
              </w:rPr>
              <w:t>Legal settlement gain, net</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Severance expense</w:t>
            </w:r>
          </w:p>
        </w:tc>
        <w:tc>
          <w:tcPr>
            <w:tcW w:w="3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Restructuring expenses</w:t>
            </w:r>
          </w:p>
        </w:tc>
        <w:tc>
          <w:tcPr>
            <w:tcW w:w="3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4820" w:type="dxa"/>
            <w:vAlign w:val="bottom"/>
            <w:shd w:val="clear" w:color="auto" w:fill="CCEEFF"/>
          </w:tcPr>
          <w:p>
            <w:pPr>
              <w:ind w:left="680"/>
              <w:spacing w:after="0" w:line="219" w:lineRule="exact"/>
              <w:rPr>
                <w:sz w:val="20"/>
                <w:szCs w:val="20"/>
                <w:color w:val="auto"/>
              </w:rPr>
            </w:pPr>
            <w:r>
              <w:rPr>
                <w:rFonts w:ascii="Times New Roman" w:cs="Times New Roman" w:eastAsia="Times New Roman" w:hAnsi="Times New Roman"/>
                <w:sz w:val="16"/>
                <w:szCs w:val="16"/>
                <w:color w:val="auto"/>
              </w:rPr>
              <w:t>Warehouse redesign expenses</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6"/>
        </w:trPr>
        <w:tc>
          <w:tcPr>
            <w:tcW w:w="4820" w:type="dxa"/>
            <w:vAlign w:val="bottom"/>
            <w:tcBorders>
              <w:bottom w:val="single" w:sz="8" w:color="CCEEFF"/>
            </w:tcBorders>
          </w:tcPr>
          <w:p>
            <w:pPr>
              <w:ind w:left="680"/>
              <w:spacing w:after="0" w:line="216" w:lineRule="exact"/>
              <w:rPr>
                <w:sz w:val="20"/>
                <w:szCs w:val="20"/>
                <w:color w:val="auto"/>
              </w:rPr>
            </w:pPr>
            <w:r>
              <w:rPr>
                <w:rFonts w:ascii="Times New Roman" w:cs="Times New Roman" w:eastAsia="Times New Roman" w:hAnsi="Times New Roman"/>
                <w:sz w:val="16"/>
                <w:szCs w:val="16"/>
                <w:color w:val="auto"/>
              </w:rPr>
              <w:t>Pro forma adjustments</w:t>
            </w:r>
            <w:r>
              <w:rPr>
                <w:rFonts w:ascii="Times New Roman" w:cs="Times New Roman" w:eastAsia="Times New Roman" w:hAnsi="Times New Roman"/>
                <w:sz w:val="21"/>
                <w:szCs w:val="21"/>
                <w:color w:val="auto"/>
                <w:vertAlign w:val="superscript"/>
              </w:rPr>
              <w:t>(3)</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w:t>
            </w:r>
          </w:p>
        </w:tc>
      </w:tr>
      <w:tr>
        <w:trPr>
          <w:trHeight w:val="235"/>
        </w:trPr>
        <w:tc>
          <w:tcPr>
            <w:tcW w:w="482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(4)</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hanging="492"/>
        <w:spacing w:after="0" w:line="221" w:lineRule="auto"/>
        <w:tabs>
          <w:tab w:leader="none" w:pos="24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2025, legal settlement gain, net included a net settlement of $6.4 million, and adjusted for legal fees incurred from March 2, 2018 through March 31, 2025 of $1.8 million.</w:t>
      </w:r>
    </w:p>
    <w:p>
      <w:pPr>
        <w:spacing w:after="0" w:line="42" w:lineRule="exact"/>
        <w:rPr>
          <w:rFonts w:ascii="Times New Roman" w:cs="Times New Roman" w:eastAsia="Times New Roman" w:hAnsi="Times New Roman"/>
          <w:sz w:val="19"/>
          <w:szCs w:val="19"/>
          <w:color w:val="auto"/>
          <w:vertAlign w:val="superscript"/>
        </w:rPr>
      </w:pPr>
    </w:p>
    <w:p>
      <w:pPr>
        <w:ind w:left="300" w:hanging="292"/>
        <w:spacing w:after="0"/>
        <w:tabs>
          <w:tab w:leader="none" w:pos="3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year ended December 31, 2025, the warehouse redesign expenses were related to the U.S. segment.</w:t>
      </w:r>
    </w:p>
    <w:p>
      <w:pPr>
        <w:spacing w:after="0" w:line="68" w:lineRule="exact"/>
        <w:rPr>
          <w:rFonts w:ascii="Times New Roman" w:cs="Times New Roman" w:eastAsia="Times New Roman" w:hAnsi="Times New Roman"/>
          <w:sz w:val="9"/>
          <w:szCs w:val="9"/>
          <w:color w:val="auto"/>
        </w:rPr>
      </w:pPr>
    </w:p>
    <w:p>
      <w:pPr>
        <w:ind w:left="500" w:right="80" w:hanging="492"/>
        <w:spacing w:after="0" w:line="239" w:lineRule="auto"/>
        <w:tabs>
          <w:tab w:leader="none" w:pos="216"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 forma adjustments represent the amount of operating expense reductions projected by the Company as a result of actions taken through December 31, 2025 or expected to be taken within 18 months of December 31, 2025, net of the benefits realized during the twelve months ended December 31, 2025. These actions include cost savings initiatives for the U.S. segment related to reductions in employee expenses (i.e., including terminated employees) and costs saving for the International segment related to Project Concord.</w:t>
      </w:r>
    </w:p>
    <w:p>
      <w:pPr>
        <w:spacing w:after="0" w:line="28" w:lineRule="exact"/>
        <w:rPr>
          <w:rFonts w:ascii="Times New Roman" w:cs="Times New Roman" w:eastAsia="Times New Roman" w:hAnsi="Times New Roman"/>
          <w:sz w:val="19"/>
          <w:szCs w:val="19"/>
          <w:color w:val="auto"/>
          <w:vertAlign w:val="superscript"/>
        </w:rPr>
      </w:pPr>
    </w:p>
    <w:p>
      <w:pPr>
        <w:ind w:left="500" w:right="60" w:hanging="492"/>
        <w:spacing w:after="0" w:line="281" w:lineRule="auto"/>
        <w:tabs>
          <w:tab w:leader="none" w:pos="295"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non-GAAP financial measure that is defined in the Company’s debt agreements. Adjusted EBITDA is defined as net (loss) income, adjusted to exclude income tax (benefit) provision, interest expense, depreciation and amortization, gain on disposition of fixed assets, mark to market loss (gain) on interest rate derivatives, goodwill impairment, stock compensation expense, legal settlement gain, net, and other items detailed in the table above that are consistent with exclusions permitted by our debt agreements.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Adjusted EBITDA for the year ended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48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12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5"/>
        </w:trPr>
        <w:tc>
          <w:tcPr>
            <w:tcW w:w="48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as reported</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(15,165)</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equity securities</w:t>
            </w:r>
          </w:p>
        </w:tc>
        <w:tc>
          <w:tcPr>
            <w:tcW w:w="3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Equity in losses, net of taxes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22,208</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22,314</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Mark to market loss (gain) on interest rate derivatives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3"/>
        </w:trPr>
        <w:tc>
          <w:tcPr>
            <w:tcW w:w="4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r>
      <w:tr>
        <w:trPr>
          <w:trHeight w:val="219"/>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16"/>
        </w:trPr>
        <w:tc>
          <w:tcPr>
            <w:tcW w:w="4820" w:type="dxa"/>
            <w:vAlign w:val="bottom"/>
            <w:tcBorders>
              <w:bottom w:val="single" w:sz="8" w:color="CCEEFF"/>
            </w:tcBorders>
          </w:tcPr>
          <w:p>
            <w:pPr>
              <w:ind w:left="680"/>
              <w:spacing w:after="0" w:line="216" w:lineRule="exact"/>
              <w:rPr>
                <w:sz w:val="20"/>
                <w:szCs w:val="20"/>
                <w:color w:val="auto"/>
              </w:rPr>
            </w:pPr>
            <w:r>
              <w:rPr>
                <w:rFonts w:ascii="Times New Roman" w:cs="Times New Roman" w:eastAsia="Times New Roman" w:hAnsi="Times New Roman"/>
                <w:sz w:val="16"/>
                <w:szCs w:val="16"/>
                <w:color w:val="auto"/>
              </w:rPr>
              <w:t xml:space="preserve">Warehouse redesign expenses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34"/>
        </w:trPr>
        <w:tc>
          <w:tcPr>
            <w:tcW w:w="482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(2)</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2024, the warehouse redesign expenses related to the U.S. segment.</w:t>
      </w:r>
    </w:p>
    <w:p>
      <w:pPr>
        <w:spacing w:after="0" w:line="43" w:lineRule="exact"/>
        <w:rPr>
          <w:rFonts w:ascii="Times New Roman" w:cs="Times New Roman" w:eastAsia="Times New Roman" w:hAnsi="Times New Roman"/>
          <w:sz w:val="19"/>
          <w:szCs w:val="19"/>
          <w:color w:val="auto"/>
          <w:vertAlign w:val="superscript"/>
        </w:rPr>
      </w:pPr>
    </w:p>
    <w:p>
      <w:pPr>
        <w:ind w:left="500" w:right="140" w:hanging="492"/>
        <w:spacing w:after="0" w:line="270" w:lineRule="auto"/>
        <w:tabs>
          <w:tab w:leader="none" w:pos="487"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non-GAAP financial measure which is defined in the Company’s debt agreements. Adjusted EBITDA is defined as net (loss) income, adjusted to exclude loss on equity securities, equity in losses, net of taxes, income tax provision (benefit), interest expense, depreciation and amortization, mark to market loss (gain) on interest rate derivatives, stock compensation expense, and other items detailed in the table above that are consistent with exclusions permitted by our debt agreements.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103"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except per share data)</w:t>
      </w:r>
    </w:p>
    <w:p>
      <w:pPr>
        <w:spacing w:after="0" w:line="20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Operating Results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 income per common share (in thousands -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34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r>
      <w:tr>
        <w:trPr>
          <w:trHeight w:val="229"/>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 intangible amortization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30"/>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Legal settlement gain, net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Warehouse redesign expenses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Severance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 to market (gain) loss on interest rate derivatives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29"/>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29"/>
        </w:trPr>
        <w:tc>
          <w:tcPr>
            <w:tcW w:w="56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 provision adjustment</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w:t>
            </w: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diluted income per share</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years ended December 31, 2025 and 2024, the warehouse redesign expenses were related to the U.S. segment.</w:t>
      </w:r>
    </w:p>
    <w:p>
      <w:pPr>
        <w:spacing w:after="0" w:line="43" w:lineRule="exact"/>
        <w:rPr>
          <w:rFonts w:ascii="Times New Roman" w:cs="Times New Roman" w:eastAsia="Times New Roman" w:hAnsi="Times New Roman"/>
          <w:sz w:val="19"/>
          <w:szCs w:val="19"/>
          <w:color w:val="auto"/>
          <w:vertAlign w:val="superscript"/>
        </w:rPr>
      </w:pPr>
    </w:p>
    <w:p>
      <w:pPr>
        <w:ind w:left="500" w:right="20" w:hanging="492"/>
        <w:spacing w:after="0" w:line="278" w:lineRule="auto"/>
        <w:tabs>
          <w:tab w:leader="none" w:pos="487"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income tax provision adjustment for the year ended December 31, 2025 results in a 0.0% tax rate applied to the goodwill impairment adjustment. There was no tax benefit recognized on the goodwill impairment.</w:t>
      </w:r>
    </w:p>
    <w:p>
      <w:pPr>
        <w:spacing w:after="0" w:line="16" w:lineRule="exact"/>
        <w:rPr>
          <w:rFonts w:ascii="Times New Roman" w:cs="Times New Roman" w:eastAsia="Times New Roman" w:hAnsi="Times New Roman"/>
          <w:sz w:val="9"/>
          <w:szCs w:val="9"/>
          <w:color w:val="auto"/>
        </w:rPr>
      </w:pPr>
    </w:p>
    <w:p>
      <w:pPr>
        <w:ind w:left="500" w:right="100" w:hanging="492"/>
        <w:spacing w:after="0" w:line="239" w:lineRule="auto"/>
        <w:tabs>
          <w:tab w:leader="none" w:pos="487"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net income and adjusted diluted income per common share in the three months ended and year ended December 31, 2025 excludes acquisition intangible amortization expense, legal settlement gain, net, acquisition related expenses, restructuring expenses, warehouse redesign expenses, severance expense, mark to market (gain) loss on interest rate derivatives, and goodwill impairment. The income tax effect on adjustments reflects the statutory tax rates applied on the adjustments.</w:t>
      </w:r>
    </w:p>
    <w:p>
      <w:pPr>
        <w:spacing w:after="0" w:line="28" w:lineRule="exact"/>
        <w:rPr>
          <w:rFonts w:ascii="Times New Roman" w:cs="Times New Roman" w:eastAsia="Times New Roman" w:hAnsi="Times New Roman"/>
          <w:sz w:val="19"/>
          <w:szCs w:val="19"/>
          <w:color w:val="auto"/>
          <w:vertAlign w:val="superscript"/>
        </w:rPr>
      </w:pPr>
    </w:p>
    <w:p>
      <w:pPr>
        <w:ind w:left="500" w:right="100"/>
        <w:spacing w:after="0" w:line="28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net income and adjusted diluted income per common share in the three months ended and year ended December 31, 2024 excludes acquisition intangible amortization expense, acquisition related expenses, warehouse redesign expenses, mark to market (gain) loss on interest rate derivatives, and loss on equity securities. The income tax effect on adjustments reflects the statutory tax rates applied on the adjustments.</w:t>
      </w:r>
    </w:p>
    <w:p>
      <w:pPr>
        <w:ind w:left="480" w:hanging="472"/>
        <w:spacing w:after="0"/>
        <w:tabs>
          <w:tab w:leader="none" w:pos="4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diluted income per common share is calculated based on diluted weighted-average shares outstanding of 21,870 and 21,617 for the three month period ended December 31,</w:t>
      </w:r>
    </w:p>
    <w:p>
      <w:pPr>
        <w:spacing w:after="0" w:line="3" w:lineRule="exact"/>
        <w:rPr>
          <w:rFonts w:ascii="Times New Roman" w:cs="Times New Roman" w:eastAsia="Times New Roman" w:hAnsi="Times New Roman"/>
          <w:sz w:val="19"/>
          <w:szCs w:val="19"/>
          <w:color w:val="auto"/>
          <w:vertAlign w:val="superscript"/>
        </w:rPr>
      </w:pPr>
    </w:p>
    <w:p>
      <w:pPr>
        <w:ind w:left="500" w:right="20"/>
        <w:spacing w:after="0" w:line="25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2025 and 2024, respectively, and 21,786 and 21,636 for the year ended December 31, 2025 and 2024, respectively. The diluted weighted-average shares outstanding for the three months ended and year ended December 31, 2025 include the effect of dilutive securities of 102 and 82 shares, respectively. The diluted weighted-average shares outstanding for the three months ended and year ended December 31, 2024 include the effect of dilutive securities of 55 and 155 shares,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03"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30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7"/>
                <w:szCs w:val="17"/>
                <w:color w:val="auto"/>
              </w:rPr>
            </w:pPr>
          </w:p>
        </w:tc>
        <w:tc>
          <w:tcPr>
            <w:tcW w:w="25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3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intangible amortization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settlement gain, net</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Warehouse redesign expenses</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w:t>
            </w:r>
          </w:p>
        </w:tc>
      </w:tr>
      <w:tr>
        <w:trPr>
          <w:trHeight w:val="248"/>
        </w:trPr>
        <w:tc>
          <w:tcPr>
            <w:tcW w:w="53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income from operations</w:t>
            </w:r>
            <w:r>
              <w:rPr>
                <w:rFonts w:ascii="Times New Roman" w:cs="Times New Roman" w:eastAsia="Times New Roman" w:hAnsi="Times New Roman"/>
                <w:sz w:val="23"/>
                <w:szCs w:val="23"/>
                <w:color w:val="auto"/>
                <w:vertAlign w:val="superscript"/>
              </w:rPr>
              <w:t>(2)(3)</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years ended December 31, 2025 and 2024, the warehouse redesign expenses were related to the U.S. segment.</w:t>
      </w:r>
    </w:p>
    <w:p>
      <w:pPr>
        <w:spacing w:after="0" w:line="43" w:lineRule="exact"/>
        <w:rPr>
          <w:rFonts w:ascii="Times New Roman" w:cs="Times New Roman" w:eastAsia="Times New Roman" w:hAnsi="Times New Roman"/>
          <w:sz w:val="19"/>
          <w:szCs w:val="19"/>
          <w:color w:val="auto"/>
          <w:vertAlign w:val="superscript"/>
        </w:rPr>
      </w:pPr>
    </w:p>
    <w:p>
      <w:pPr>
        <w:ind w:left="500" w:right="560" w:hanging="492"/>
        <w:spacing w:after="0" w:line="278" w:lineRule="auto"/>
        <w:tabs>
          <w:tab w:leader="none" w:pos="487"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income from operations for the three months ended and year ended December 31, 2025 excludes acquisition intangible amortization expense, legal settlement gain, net, acquisition related expenses, restructuring expenses, warehouse redesign expenses, severance expense, and goodwill impairment.</w:t>
      </w:r>
    </w:p>
    <w:p>
      <w:pPr>
        <w:spacing w:after="0" w:line="16" w:lineRule="exact"/>
        <w:rPr>
          <w:rFonts w:ascii="Times New Roman" w:cs="Times New Roman" w:eastAsia="Times New Roman" w:hAnsi="Times New Roman"/>
          <w:sz w:val="9"/>
          <w:szCs w:val="9"/>
          <w:color w:val="auto"/>
        </w:rPr>
      </w:pPr>
    </w:p>
    <w:p>
      <w:pPr>
        <w:ind w:left="500" w:right="140" w:hanging="492"/>
        <w:spacing w:after="0" w:line="230" w:lineRule="auto"/>
        <w:tabs>
          <w:tab w:leader="none" w:pos="48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income from operations for the three months ended and year ended December 31, 2024 excludes acquisition intangible amortization expense, acquisition related expenses, and warehouse redesign expenses.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2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LIFETIME BRANDS, INC.</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Supplemental Information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gridSpan w:val="24"/>
          </w:tcPr>
          <w:p>
            <w:pPr>
              <w:jc w:val="center"/>
              <w:ind w:right="268"/>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Operating Results (continued)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Constant Currency:</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center"/>
              <w:ind w:left="438"/>
              <w:spacing w:after="0" w:line="164" w:lineRule="exact"/>
              <w:rPr>
                <w:sz w:val="20"/>
                <w:szCs w:val="20"/>
                <w:color w:val="auto"/>
              </w:rPr>
            </w:pPr>
            <w:r>
              <w:rPr>
                <w:rFonts w:ascii="Times New Roman" w:cs="Times New Roman" w:eastAsia="Times New Roman" w:hAnsi="Times New Roman"/>
                <w:sz w:val="14"/>
                <w:szCs w:val="14"/>
                <w:b w:val="1"/>
                <w:bCs w:val="1"/>
                <w:color w:val="auto"/>
                <w:w w:val="99"/>
              </w:rPr>
              <w:t xml:space="preserve">Constant Currency </w:t>
            </w:r>
            <w:r>
              <w:rPr>
                <w:rFonts w:ascii="Times New Roman" w:cs="Times New Roman" w:eastAsia="Times New Roman" w:hAnsi="Times New Roman"/>
                <w:sz w:val="18"/>
                <w:szCs w:val="18"/>
                <w:b w:val="1"/>
                <w:bCs w:val="1"/>
                <w:color w:val="auto"/>
                <w:w w:val="99"/>
                <w:vertAlign w:val="superscript"/>
              </w:rPr>
              <w:t>(1)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Year-Over-Year</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10"/>
          </w:tcPr>
          <w:p>
            <w:pPr>
              <w:jc w:val="center"/>
              <w:ind w:left="418"/>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tcPr>
          <w:p>
            <w:pPr>
              <w:jc w:val="center"/>
              <w:ind w:left="438"/>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7"/>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9"/>
          </w:tcPr>
          <w:p>
            <w:pPr>
              <w:jc w:val="center"/>
              <w:ind w:left="683"/>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2"/>
              <w:spacing w:after="0" w:line="136"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81"/>
              <w:spacing w:after="0" w:line="136"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08"/>
              <w:spacing w:after="0" w:line="13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6"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920" w:type="dxa"/>
            <w:vAlign w:val="bottom"/>
          </w:tcPr>
          <w:p>
            <w:pPr>
              <w:jc w:val="right"/>
              <w:ind w:right="123"/>
              <w:spacing w:after="0" w:line="13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7"/>
                <w:szCs w:val="17"/>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09"/>
        </w:trPr>
        <w:tc>
          <w:tcPr>
            <w:tcW w:w="1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195,997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185,298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195,967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sales</w:t>
            </w: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215,207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204,074</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216,117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9"/>
              </w:rPr>
              <w:t xml:space="preserve">Constant Currency </w:t>
            </w:r>
            <w:r>
              <w:rPr>
                <w:rFonts w:ascii="Times New Roman" w:cs="Times New Roman" w:eastAsia="Times New Roman" w:hAnsi="Times New Roman"/>
                <w:sz w:val="18"/>
                <w:szCs w:val="18"/>
                <w:b w:val="1"/>
                <w:bCs w:val="1"/>
                <w:color w:val="auto"/>
                <w:w w:val="99"/>
                <w:vertAlign w:val="superscript"/>
              </w:rPr>
              <w:t>(1)</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Year-Over-Year</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1"/>
                <w:szCs w:val="11"/>
                <w:color w:val="auto"/>
              </w:rPr>
            </w:pPr>
          </w:p>
        </w:tc>
        <w:tc>
          <w:tcPr>
            <w:tcW w:w="98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7"/>
                <w:szCs w:val="17"/>
                <w:color w:val="auto"/>
              </w:rPr>
            </w:pPr>
          </w:p>
        </w:tc>
        <w:tc>
          <w:tcPr>
            <w:tcW w:w="9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09"/>
        </w:trPr>
        <w:tc>
          <w:tcPr>
            <w:tcW w:w="1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591,244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627,202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591,244</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627,181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(1,941)</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2"/>
        </w:trPr>
        <w:tc>
          <w:tcPr>
            <w:tcW w:w="1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sales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647,933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682,952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647,933</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684,872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00" w:right="100" w:hanging="492"/>
        <w:spacing w:after="0" w:line="281" w:lineRule="auto"/>
        <w:tabs>
          <w:tab w:leader="none" w:pos="487"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“Constant Currency” is determined by applying the 2025 average exchange rates to the prior year local currency sales amounts, with the difference between the change in “As Reported” net sales and “Constant Currency” net sales, reported in the table as “Currency Impact”. Constant currency sales growth is intended to exclude the impact of 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2026-03-12T07:14:33Z</dcterms:created>
  <dcterms:modified xsi:type="dcterms:W3CDTF">2026-03-12T07:14:33Z</dcterms:modified>
</cp:coreProperties>
</file>