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Lifetime Brands,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53222Q103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Marc Weingarten, Esq.</w:t>
      </w:r>
    </w:p>
    <w:p>
      <w:pPr>
        <w:ind w:left="2960"/>
        <w:spacing w:after="0" w:line="238" w:lineRule="auto"/>
        <w:rPr>
          <w:sz w:val="20"/>
          <w:szCs w:val="20"/>
          <w:color w:val="auto"/>
        </w:rPr>
      </w:pPr>
      <w:r>
        <w:rPr>
          <w:rFonts w:ascii="Courier New" w:cs="Courier New" w:eastAsia="Courier New" w:hAnsi="Courier New"/>
          <w:sz w:val="18"/>
          <w:szCs w:val="18"/>
          <w:color w:val="auto"/>
        </w:rPr>
        <w:t>Schulte Roth &amp; Zabel LLP</w:t>
      </w:r>
    </w:p>
    <w:p>
      <w:pPr>
        <w:ind w:left="3380"/>
        <w:spacing w:after="0"/>
        <w:rPr>
          <w:sz w:val="20"/>
          <w:szCs w:val="20"/>
          <w:color w:val="auto"/>
        </w:rPr>
      </w:pPr>
      <w:r>
        <w:rPr>
          <w:rFonts w:ascii="Courier New" w:cs="Courier New" w:eastAsia="Courier New" w:hAnsi="Courier New"/>
          <w:sz w:val="18"/>
          <w:szCs w:val="18"/>
          <w:color w:val="auto"/>
        </w:rPr>
        <w:t>919 Third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756-2000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24, 2007</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1779" w:firstLine="8"/>
        <w:spacing w:after="0" w:line="237"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ind w:left="3160"/>
        <w:spacing w:after="0" w:line="238" w:lineRule="auto"/>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53222Q103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380" w:space="640"/>
            <w:col w:w="1480" w:space="720"/>
            <w:col w:w="399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JOVE PARTNERS,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203"/>
        </w:trPr>
        <w:tc>
          <w:tcPr>
            <w:tcW w:w="4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AF</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w:t>
      </w:r>
    </w:p>
    <w:p>
      <w:pPr>
        <w:ind w:left="1280"/>
        <w:spacing w:after="0"/>
        <w:tabs>
          <w:tab w:leader="none" w:pos="77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1600" w:space="720"/>
            <w:col w:w="7899"/>
          </w:cols>
          <w:pgMar w:left="240" w:top="339"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339" w:right="1440" w:bottom="1440" w:gutter="0" w:footer="0" w:header="0"/>
          <w:type w:val="continuous"/>
        </w:sectPr>
      </w:pPr>
    </w:p>
    <w:p>
      <w:pPr>
        <w:spacing w:after="0" w:line="21" w:lineRule="exact"/>
        <w:rPr>
          <w:sz w:val="20"/>
          <w:szCs w:val="20"/>
          <w:color w:val="auto"/>
        </w:rPr>
      </w:pPr>
    </w:p>
    <w:p>
      <w:pPr>
        <w:ind w:left="220" w:right="3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840,000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4" w:lineRule="exact"/>
        <w:rPr>
          <w:sz w:val="20"/>
          <w:szCs w:val="20"/>
          <w:color w:val="auto"/>
        </w:rPr>
      </w:pPr>
    </w:p>
    <w:p>
      <w:pPr>
        <w:sectPr>
          <w:pgSz w:w="11900" w:h="16838" w:orient="portrait"/>
          <w:cols w:equalWidth="0" w:num="2">
            <w:col w:w="1600" w:space="720"/>
            <w:col w:w="7899"/>
          </w:cols>
          <w:pgMar w:left="240" w:top="33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33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600" w:space="720"/>
            <w:col w:w="7899"/>
          </w:cols>
          <w:pgMar w:left="240" w:top="339" w:right="1440" w:bottom="1440" w:gutter="0" w:footer="0" w:header="0"/>
          <w:type w:val="continuous"/>
        </w:sectPr>
      </w:pPr>
    </w:p>
    <w:p>
      <w:pPr>
        <w:ind w:left="3380" w:right="4319" w:hanging="738"/>
        <w:spacing w:after="0" w:line="357" w:lineRule="auto"/>
        <w:tabs>
          <w:tab w:leader="none" w:pos="33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840,000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840,000</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36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IF THE AGGREGATE AMOUNT IN ROW (11) EXCLUDES CERTAIN SHARES*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6.3%</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w:t>
      </w:r>
    </w:p>
    <w:p>
      <w:pPr>
        <w:sectPr>
          <w:pgSz w:w="11900" w:h="16838" w:orient="portrait"/>
          <w:cols w:equalWidth="0" w:num="1">
            <w:col w:w="10219"/>
          </w:cols>
          <w:pgMar w:left="240" w:top="33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53222Q103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380" w:space="640"/>
            <w:col w:w="1480" w:space="720"/>
            <w:col w:w="3999"/>
          </w:cols>
          <w:pgMar w:left="240" w:top="925" w:right="1440" w:bottom="1440" w:gutter="0" w:footer="0" w:header="0"/>
        </w:sectPr>
      </w:pPr>
    </w:p>
    <w:p>
      <w:pPr>
        <w:spacing w:after="0" w:line="2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spacing w:after="0" w:line="4" w:lineRule="exact"/>
        <w:rPr>
          <w:rFonts w:ascii="Courier New" w:cs="Courier New" w:eastAsia="Courier New" w:hAnsi="Courier New"/>
          <w:sz w:val="16"/>
          <w:szCs w:val="16"/>
          <w:color w:val="auto"/>
        </w:rPr>
      </w:pPr>
    </w:p>
    <w:p>
      <w:pPr>
        <w:ind w:left="1280" w:right="2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JOEL TOMAS CITRON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203"/>
        </w:trPr>
        <w:tc>
          <w:tcPr>
            <w:tcW w:w="4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AF</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IF DISCLOSURE OF LEGAL PROCEEDINGS IS REQUIRED PURSUANT</w:t>
      </w:r>
    </w:p>
    <w:p>
      <w:pPr>
        <w:ind w:left="1280"/>
        <w:spacing w:after="0"/>
        <w:tabs>
          <w:tab w:leader="none" w:pos="77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1600" w:space="720"/>
            <w:col w:w="7899"/>
          </w:cols>
          <w:pgMar w:left="240" w:top="925"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ind w:left="220" w:right="3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840,000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4" w:lineRule="exact"/>
        <w:rPr>
          <w:sz w:val="20"/>
          <w:szCs w:val="20"/>
          <w:color w:val="auto"/>
        </w:rPr>
      </w:pPr>
    </w:p>
    <w:p>
      <w:pPr>
        <w:sectPr>
          <w:pgSz w:w="11900" w:h="16838" w:orient="portrait"/>
          <w:cols w:equalWidth="0" w:num="2">
            <w:col w:w="1600" w:space="720"/>
            <w:col w:w="7899"/>
          </w:cols>
          <w:pgMar w:left="240" w:top="925"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600" w:space="720"/>
            <w:col w:w="7899"/>
          </w:cols>
          <w:pgMar w:left="240" w:top="925" w:right="1440" w:bottom="1440" w:gutter="0" w:footer="0" w:header="0"/>
          <w:type w:val="continuous"/>
        </w:sectPr>
      </w:pPr>
    </w:p>
    <w:p>
      <w:pPr>
        <w:ind w:left="3380" w:right="4319" w:hanging="738"/>
        <w:spacing w:after="0" w:line="357"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840,000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840,000</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36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IF THE AGGREGATE AMOUNT IN ROW (11) EXCLUDES CERTAIN SHARES*</w:t>
      </w:r>
    </w:p>
    <w:p>
      <w:pPr>
        <w:ind w:left="7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6.3%</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53222Q103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380" w:space="640"/>
            <w:col w:w="1480" w:space="720"/>
            <w:col w:w="3999"/>
          </w:cols>
          <w:pgMar w:left="240" w:top="925" w:right="1440" w:bottom="0" w:gutter="0" w:footer="0" w:header="0"/>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statement relates to the shares of Common Stock, $0.01 par value per share (the "Shares"), of Lifetime Brands, Inc., a Delaware corporation (the "Issuer"). The principal executive office of the Issuer is located at One Merrick Avenue, Westbury, New York 11590.</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firstLine="851"/>
        <w:spacing w:after="0" w:line="271" w:lineRule="auto"/>
        <w:tabs>
          <w:tab w:leader="none" w:pos="12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is filed by Jove Partners, LP, a Delaware limited partnership ("Jove Partners"), and Joel Tomas Citron (together, the "Reporting Persons"). Jove Partners is the investment manager to Jove Master Fund, Ltd., a Cayman Islands exempted corporation (the "Master Fund"), which is a master trading vehicle and the holder of the Shares reported herein. Mr. Citron is the managing member of the general partner of Jove Partners. The Reporting Persons may be deemed to have beneficial ownership over the Shares reported herein by virtue of the discretion and authority granted to Jove Partners by the Master Fund to vote and to dispose of the securities held by the Master Fund.</w:t>
      </w:r>
    </w:p>
    <w:p>
      <w:pPr>
        <w:spacing w:after="0" w:line="183" w:lineRule="exact"/>
        <w:rPr>
          <w:rFonts w:ascii="Courier New" w:cs="Courier New" w:eastAsia="Courier New" w:hAnsi="Courier New"/>
          <w:sz w:val="16"/>
          <w:szCs w:val="16"/>
          <w:color w:val="auto"/>
        </w:rPr>
      </w:pPr>
    </w:p>
    <w:p>
      <w:pPr>
        <w:ind w:right="2419" w:firstLine="851"/>
        <w:spacing w:after="0" w:line="235" w:lineRule="auto"/>
        <w:tabs>
          <w:tab w:leader="none" w:pos="126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business address of the Reporting Persons is 595 Madison Avenue, 34th Floor, New York, New York 10022.</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business of Jove Partners is investing for funds under its management, including the Master Fund. The principal business of Mr. Citron is serving as the managing member of Jove, LLC, the general partner of Jove Partners.</w:t>
      </w:r>
    </w:p>
    <w:p>
      <w:pPr>
        <w:spacing w:after="0" w:line="207" w:lineRule="exact"/>
        <w:rPr>
          <w:rFonts w:ascii="Courier New" w:cs="Courier New" w:eastAsia="Courier New" w:hAnsi="Courier New"/>
          <w:sz w:val="18"/>
          <w:szCs w:val="18"/>
          <w:color w:val="auto"/>
        </w:rPr>
      </w:pPr>
    </w:p>
    <w:p>
      <w:pPr>
        <w:ind w:right="1779" w:firstLine="851"/>
        <w:spacing w:after="0" w:line="236" w:lineRule="auto"/>
        <w:tabs>
          <w:tab w:leader="none" w:pos="126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Reporting Persons has, during the last five years, been convicted in a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9" w:lineRule="exact"/>
        <w:rPr>
          <w:rFonts w:ascii="Courier New" w:cs="Courier New" w:eastAsia="Courier New" w:hAnsi="Courier New"/>
          <w:sz w:val="18"/>
          <w:szCs w:val="18"/>
          <w:color w:val="auto"/>
        </w:rPr>
      </w:pPr>
    </w:p>
    <w:p>
      <w:pPr>
        <w:ind w:right="1999" w:firstLine="851"/>
        <w:spacing w:after="0" w:line="235" w:lineRule="auto"/>
        <w:tabs>
          <w:tab w:leader="none" w:pos="126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Citron is a permanent resident of the United States of America and a citizen of Sweden.</w:t>
      </w:r>
    </w:p>
    <w:p>
      <w:pPr>
        <w:spacing w:after="0" w:line="200" w:lineRule="exact"/>
        <w:rPr>
          <w:sz w:val="20"/>
          <w:szCs w:val="20"/>
          <w:color w:val="auto"/>
        </w:rPr>
      </w:pPr>
    </w:p>
    <w:p>
      <w:pPr>
        <w:spacing w:after="0" w:line="20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Shares reported herein were acquired with investment funds in accounts under management. A total of approximately $15,854,529 was paid to acquire such Shares, which are held in margin accounts maintained at Morgan Stanley in the ordinary course of business.</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Reporting Persons originally acquired Shares for investment in the ordinary course of business because they believed that the Shares, when purchased, were undervalued and represented an attractive investment opportunity. Representatives of the Reporting Persons have engaged in discussions with management, members of the board of directors, other shareholders of the Issuer and other relevant parties concerning, among other things, the business, operations, management, strategy, board composition and future plans of the Issuer, and may do so again in the future. The Reporting Persons believe that the Issuer would benefit from additional marketing and industry expertise on its board of directors, and have suggested individuals for consideration by the board.</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Except as set forth herein, the Reporting Persons have no present plan or proposal that would relate to or result in any of the matters set forth in subparagraphs (a)-(j) of Item 4 of Schedule 13D. The Reporting Persons intend to review their investment in the Issuer on a continuing basis. Depending on various factors including, without limitation, the Issuer's financial position and strategic direction, the outcome of the discussions and actions referenced above, actions taken by the board of directors, price levels of the Shares, other investment opportunities available to the Reporting Persons, conditions in the securities market and general economic and industry conditions, the</w:t>
      </w:r>
    </w:p>
    <w:p>
      <w:pPr>
        <w:sectPr>
          <w:pgSz w:w="11900" w:h="16838" w:orient="portrait"/>
          <w:cols w:equalWidth="0" w:num="1">
            <w:col w:w="10219"/>
          </w:cols>
          <w:pgMar w:left="240" w:top="925" w:right="1440" w:bottom="0" w:gutter="0" w:footer="0" w:header="0"/>
          <w:type w:val="continuous"/>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Reporting Persons may in the future take such actions with respect to their investment in the Issuer as they deem appropriate including, without limitation, purchasing additional Shares or selling some or all of their Shares, engaging in short selling of or any hedging or similar transactions with respect to the Shares and/or otherwise changing their intention with respect to any and all matters referred to in Item 4 of Schedule 13D.</w:t>
      </w:r>
    </w:p>
    <w:p>
      <w:pPr>
        <w:sectPr>
          <w:pgSz w:w="11900" w:h="16838" w:orient="portrait"/>
          <w:cols w:equalWidth="0" w:num="1">
            <w:col w:w="10219"/>
          </w:cols>
          <w:pgMar w:left="240"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53222Q103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1700" w:space="720"/>
            <w:col w:w="3899"/>
          </w:cols>
          <w:pgMar w:left="240" w:top="925" w:right="1440" w:bottom="1440" w:gutter="0" w:footer="0" w:header="0"/>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519" w:firstLine="851"/>
        <w:spacing w:after="0" w:line="236"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close of business on August 29, 2007, the Reporting Persons beneficially owned an aggregate of 840,000 Shares, constituting approximately 6.3% of the Shares outstanding.</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aggregate percentage of Shares beneficially owned by the Reporting Persons is based upon 13,312,726 Shares outstanding, which is the total number of Shares outstanding as of June 30, 2007 as reported in the Issuer's Quarterly Report on Form 10-Q for the period ended June 30, 2007.</w:t>
      </w:r>
    </w:p>
    <w:p>
      <w:pPr>
        <w:spacing w:after="0" w:line="207" w:lineRule="exact"/>
        <w:rPr>
          <w:sz w:val="20"/>
          <w:szCs w:val="20"/>
          <w:color w:val="auto"/>
        </w:rPr>
      </w:pPr>
    </w:p>
    <w:p>
      <w:pPr>
        <w:ind w:right="1779" w:firstLine="851"/>
        <w:spacing w:after="0" w:line="237"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an investment management agreement with the Master Fund, Jove Partners has the power to vote or direct the voting, and to dispose or direct the disposition, of all of the 840,000 Shares held by the Master Fund. By virtue of his position as managing member of the general partner of Jove Partners, Mr. Citron is deemed to have shared voting power and shared dispositive power with respect to all Shares as to which Jove Partners has voting power or dispositive power. Accordingly, the Reporting Persons are deemed to have shared voting and dispositive power with respect to an aggregate of 840,000 Shares.</w:t>
      </w:r>
    </w:p>
    <w:p>
      <w:pPr>
        <w:spacing w:after="0" w:line="213"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concerning transactions in the Shares effected by the Reporting Persons during the past sixty days is set forth in Schedule A hereto and is incorporated herein by reference. Unless otherwise indicated, all of such transactions were effected in the open market.</w:t>
      </w:r>
    </w:p>
    <w:p>
      <w:pPr>
        <w:spacing w:after="0" w:line="207" w:lineRule="exact"/>
        <w:rPr>
          <w:rFonts w:ascii="Courier New" w:cs="Courier New" w:eastAsia="Courier New" w:hAnsi="Courier New"/>
          <w:sz w:val="18"/>
          <w:szCs w:val="18"/>
          <w:color w:val="auto"/>
        </w:rPr>
      </w:pPr>
    </w:p>
    <w:p>
      <w:pPr>
        <w:ind w:right="2099" w:firstLine="851"/>
        <w:spacing w:after="0" w:line="236"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other than the Reporting Persons is known to have the right to receive or the power to direct the receipt of dividends from, or the proceeds from the sale of, the Shares reported herein.</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187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8"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Except as otherwise set forth herein, the Reporting Persons do not have any contract, arrangement, understanding or relationship with any person with respect to any securities of the Issuer.</w:t>
      </w: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A -</w:t>
      </w:r>
      <w:r>
        <w:rPr>
          <w:sz w:val="20"/>
          <w:szCs w:val="20"/>
          <w:color w:val="auto"/>
        </w:rPr>
        <w:tab/>
      </w:r>
      <w:r>
        <w:rPr>
          <w:rFonts w:ascii="Courier New" w:cs="Courier New" w:eastAsia="Courier New" w:hAnsi="Courier New"/>
          <w:sz w:val="16"/>
          <w:szCs w:val="16"/>
          <w:color w:val="auto"/>
        </w:rPr>
        <w:t>Joint Filing Agreement dated January 31, 2007</w:t>
      </w:r>
    </w:p>
    <w:p>
      <w:pPr>
        <w:sectPr>
          <w:pgSz w:w="11900" w:h="16838" w:orient="portrait"/>
          <w:cols w:equalWidth="0" w:num="1">
            <w:col w:w="10219"/>
          </w:cols>
          <w:pgMar w:left="240" w:top="925"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53222Q103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1700" w:space="720"/>
            <w:col w:w="3899"/>
          </w:cols>
          <w:pgMar w:left="240" w:top="925" w:right="1440" w:bottom="1440" w:gutter="0" w:footer="0" w:header="0"/>
        </w:sectPr>
      </w:pP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his or its knowledge and belief, each of the undersigned certifies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31, 2007</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JOVE PARTNERS, LP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Jove, LLC, its general partner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Joel Tomas Citron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Tomas Citron</w:t>
      </w:r>
    </w:p>
    <w:p>
      <w:pPr>
        <w:ind w:left="390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Joel Tomas Citron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Joel Tomas Citron</w:t>
      </w:r>
    </w:p>
    <w:p>
      <w:pPr>
        <w:sectPr>
          <w:pgSz w:w="11900" w:h="16838" w:orient="portrait"/>
          <w:cols w:equalWidth="0" w:num="1">
            <w:col w:w="10219"/>
          </w:cols>
          <w:pgMar w:left="240" w:top="925"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53222Q103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1700" w:space="720"/>
            <w:col w:w="3899"/>
          </w:cols>
          <w:pgMar w:left="240" w:top="925" w:right="1440" w:bottom="1440" w:gutter="0" w:footer="0" w:header="0"/>
        </w:sectPr>
      </w:pP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TRANSACTIONS IN THE SHARES DURING THE PAST 60 DAYS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following transactions in the Shares were effected by Jove Partners pursuant to an investment management agreement with the Master Fund:</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Trade Date</w:t>
            </w:r>
          </w:p>
        </w:tc>
        <w:tc>
          <w:tcPr>
            <w:tcW w:w="3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Shares Purchased (Sold)</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Price Per Share ($)</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06/22/2007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21.09</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06/26/2007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6,689</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21.07</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07/12/2007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07/30/2007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19.11</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08/02/2007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18.97</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08/02/2007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30,500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19.03</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08/07/2007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4,954</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18.08</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08/07/2007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10,046</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18.09</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08/23/2007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19.04</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08/23/2007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19.07</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08/24/2007</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7,500</w:t>
            </w:r>
          </w:p>
        </w:tc>
        <w:tc>
          <w:tcPr>
            <w:tcW w:w="2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19.17</w:t>
            </w:r>
          </w:p>
        </w:tc>
      </w:tr>
    </w:tbl>
    <w:p>
      <w:pPr>
        <w:sectPr>
          <w:pgSz w:w="11900" w:h="16838" w:orient="portrait"/>
          <w:cols w:equalWidth="0" w:num="1">
            <w:col w:w="10219"/>
          </w:cols>
          <w:pgMar w:left="240" w:top="925" w:right="1440" w:bottom="1440" w:gutter="0" w:footer="0" w:header="0"/>
          <w:type w:val="continuous"/>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PURSUANT TO RULE 13d-1(k)</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 except to the extent that he or it knows or has reason to believe that such information is inaccurate.</w:t>
      </w:r>
    </w:p>
    <w:p>
      <w:pPr>
        <w:spacing w:after="0" w:line="2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31, 2007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JOVE PARTNERS, LP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Jove, LLC, its general partner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Joel Tomas Citron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Tomas Citron</w:t>
      </w:r>
    </w:p>
    <w:p>
      <w:pPr>
        <w:ind w:left="390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Joel Tomas Citron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Joel Tomas Citron</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lvl w:ilvl="1">
      <w:lvlJc w:val="left"/>
      <w:lvlText w:val="(%2)"/>
      <w:numFmt w:val="decimal"/>
      <w:start w:val="21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lvl w:ilvl="1">
      <w:lvlJc w:val="left"/>
      <w:lvlText w:val="%2"/>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2"/>
      <w:numFmt w:val="decimal"/>
      <w:start w:val="10"/>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2"/>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lvl w:ilvl="1">
      <w:lvlJc w:val="left"/>
      <w:lvlText w:val="%2"/>
      <w:numFmt w:val="decimal"/>
      <w:start w:val="10"/>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lvl w:ilvl="1">
      <w:lvlJc w:val="left"/>
      <w:lvlText w:val="*"/>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2019-12-20T00:03:20Z</dcterms:created>
  <dcterms:modified xsi:type="dcterms:W3CDTF">2019-12-20T00:03:20Z</dcterms:modified>
</cp:coreProperties>
</file>